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29" w:rsidRDefault="00157229" w:rsidP="00157229">
      <w:pPr>
        <w:widowControl w:val="0"/>
        <w:tabs>
          <w:tab w:val="center" w:pos="1400"/>
          <w:tab w:val="center" w:pos="6237"/>
          <w:tab w:val="left" w:pos="6379"/>
        </w:tabs>
        <w:spacing w:after="0" w:line="240" w:lineRule="auto"/>
        <w:jc w:val="right"/>
        <w:rPr>
          <w:rFonts w:eastAsia="Times New Roman"/>
          <w:b/>
          <w:noProof/>
          <w:szCs w:val="28"/>
        </w:rPr>
      </w:pPr>
      <w:bookmarkStart w:id="0" w:name="_Hlk40854630"/>
      <w:r>
        <w:rPr>
          <w:rFonts w:eastAsia="Times New Roman"/>
          <w:b/>
          <w:noProof/>
          <w:szCs w:val="28"/>
        </w:rPr>
        <w:t>Phụ lục V</w:t>
      </w:r>
    </w:p>
    <w:p w:rsidR="00694F84" w:rsidRPr="00462528" w:rsidRDefault="00694F84" w:rsidP="00694F84">
      <w:pPr>
        <w:widowControl w:val="0"/>
        <w:tabs>
          <w:tab w:val="center" w:pos="1400"/>
          <w:tab w:val="center" w:pos="6237"/>
          <w:tab w:val="left" w:pos="6379"/>
        </w:tabs>
        <w:spacing w:after="0" w:line="240" w:lineRule="auto"/>
        <w:rPr>
          <w:rFonts w:eastAsia="Times New Roman"/>
          <w:b/>
          <w:noProof/>
          <w:sz w:val="26"/>
          <w:szCs w:val="26"/>
          <w:lang w:val="vi-VN"/>
        </w:rPr>
      </w:pPr>
      <w:r w:rsidRPr="00462528">
        <w:rPr>
          <w:rFonts w:eastAsia="Times New Roman"/>
          <w:b/>
          <w:noProof/>
          <w:szCs w:val="28"/>
        </w:rPr>
        <w:t>TÊN CQ, TC CHỦ QUẢN</w:t>
      </w:r>
      <w:r w:rsidRPr="00462528">
        <w:rPr>
          <w:rFonts w:eastAsia="Times New Roman"/>
          <w:b/>
          <w:noProof/>
          <w:sz w:val="26"/>
          <w:szCs w:val="26"/>
          <w:lang w:val="vi-VN"/>
        </w:rPr>
        <w:tab/>
        <w:t>CỘNG HÒA XÃ HỘI CHỦ NGHĨA VIỆT NAM</w:t>
      </w:r>
    </w:p>
    <w:p w:rsidR="00694F84" w:rsidRPr="00462528" w:rsidRDefault="00694F84" w:rsidP="00694F84">
      <w:pPr>
        <w:widowControl w:val="0"/>
        <w:tabs>
          <w:tab w:val="center" w:pos="1400"/>
          <w:tab w:val="center" w:pos="6237"/>
          <w:tab w:val="left" w:pos="6379"/>
        </w:tabs>
        <w:spacing w:after="0" w:line="240" w:lineRule="auto"/>
        <w:rPr>
          <w:rFonts w:eastAsia="Times New Roman"/>
          <w:b/>
          <w:noProof/>
          <w:szCs w:val="28"/>
          <w:lang w:val="vi-VN"/>
        </w:rPr>
      </w:pPr>
      <w:r w:rsidRPr="00462528">
        <w:rPr>
          <w:rFonts w:eastAsia="Times New Roman"/>
          <w:b/>
          <w:noProof/>
          <w:sz w:val="26"/>
          <w:szCs w:val="26"/>
          <w:lang w:val="vi-VN"/>
        </w:rPr>
        <w:tab/>
      </w:r>
      <w:r w:rsidRPr="00462528">
        <w:rPr>
          <w:rFonts w:eastAsia="Times New Roman"/>
          <w:b/>
          <w:noProof/>
          <w:sz w:val="26"/>
          <w:szCs w:val="26"/>
        </w:rPr>
        <w:t>TÊN CQ, TC BÁO CÁO</w:t>
      </w:r>
      <w:r w:rsidRPr="00462528">
        <w:rPr>
          <w:rFonts w:eastAsia="Times New Roman"/>
          <w:b/>
          <w:noProof/>
          <w:szCs w:val="28"/>
          <w:lang w:val="vi-VN"/>
        </w:rPr>
        <w:tab/>
        <w:t xml:space="preserve"> Độc lập </w:t>
      </w:r>
      <w:r w:rsidRPr="00462528">
        <w:rPr>
          <w:rFonts w:eastAsia="Times New Roman"/>
          <w:noProof/>
          <w:szCs w:val="28"/>
          <w:lang w:val="vi-VN"/>
        </w:rPr>
        <w:t xml:space="preserve">- </w:t>
      </w:r>
      <w:r w:rsidRPr="00462528">
        <w:rPr>
          <w:rFonts w:eastAsia="Times New Roman"/>
          <w:b/>
          <w:noProof/>
          <w:szCs w:val="28"/>
          <w:lang w:val="vi-VN"/>
        </w:rPr>
        <w:t xml:space="preserve">Tự do </w:t>
      </w:r>
      <w:r w:rsidRPr="00462528">
        <w:rPr>
          <w:rFonts w:eastAsia="Times New Roman"/>
          <w:noProof/>
          <w:szCs w:val="28"/>
          <w:lang w:val="vi-VN"/>
        </w:rPr>
        <w:t>-</w:t>
      </w:r>
      <w:r w:rsidRPr="00462528">
        <w:rPr>
          <w:rFonts w:eastAsia="Times New Roman"/>
          <w:b/>
          <w:noProof/>
          <w:szCs w:val="28"/>
          <w:lang w:val="vi-VN"/>
        </w:rPr>
        <w:t xml:space="preserve"> Hạnh phúc</w:t>
      </w:r>
    </w:p>
    <w:p w:rsidR="00694F84" w:rsidRPr="00462528" w:rsidRDefault="00694F84" w:rsidP="00694F84">
      <w:pPr>
        <w:widowControl w:val="0"/>
        <w:tabs>
          <w:tab w:val="center" w:pos="1400"/>
          <w:tab w:val="center" w:pos="6237"/>
          <w:tab w:val="left" w:pos="6379"/>
        </w:tabs>
        <w:spacing w:after="0" w:line="240" w:lineRule="auto"/>
        <w:rPr>
          <w:rFonts w:eastAsia="Times New Roman"/>
          <w:b/>
          <w:noProof/>
          <w:szCs w:val="28"/>
          <w:lang w:val="vi-VN"/>
        </w:rPr>
      </w:pPr>
      <w:r w:rsidRPr="00462528">
        <w:rPr>
          <w:rFonts w:eastAsia="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474345</wp:posOffset>
                </wp:positionH>
                <wp:positionV relativeFrom="paragraph">
                  <wp:posOffset>30480</wp:posOffset>
                </wp:positionV>
                <wp:extent cx="735965" cy="0"/>
                <wp:effectExtent l="7620" t="11430" r="889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D3F02" id="_x0000_t32" coordsize="21600,21600" o:spt="32" o:oned="t" path="m,l21600,21600e" filled="f">
                <v:path arrowok="t" fillok="f" o:connecttype="none"/>
                <o:lock v:ext="edit" shapetype="t"/>
              </v:shapetype>
              <v:shape id="Straight Arrow Connector 3" o:spid="_x0000_s1026" type="#_x0000_t32" style="position:absolute;margin-left:37.35pt;margin-top:2.4pt;width:57.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8HJAIAAEk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"/>
            </w:pict>
          </mc:Fallback>
        </mc:AlternateContent>
      </w:r>
      <w:r w:rsidRPr="00462528">
        <w:rPr>
          <w:rFonts w:eastAsia="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2938780</wp:posOffset>
                </wp:positionH>
                <wp:positionV relativeFrom="paragraph">
                  <wp:posOffset>30480</wp:posOffset>
                </wp:positionV>
                <wp:extent cx="2119630" cy="0"/>
                <wp:effectExtent l="5080" t="11430" r="889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12C2A" id="Straight Arrow Connector 2" o:spid="_x0000_s1026" type="#_x0000_t32" style="position:absolute;margin-left:231.4pt;margin-top:2.4pt;width:16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OW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"/>
            </w:pict>
          </mc:Fallback>
        </mc:AlternateContent>
      </w:r>
      <w:r w:rsidRPr="00462528">
        <w:rPr>
          <w:rFonts w:eastAsia="Times New Roman"/>
          <w:b/>
          <w:noProof/>
          <w:szCs w:val="28"/>
          <w:lang w:val="vi-VN"/>
        </w:rPr>
        <w:tab/>
      </w:r>
    </w:p>
    <w:p w:rsidR="00694F84" w:rsidRPr="00462528" w:rsidRDefault="00694F84" w:rsidP="00694F84">
      <w:pPr>
        <w:widowControl w:val="0"/>
        <w:tabs>
          <w:tab w:val="center" w:pos="1400"/>
          <w:tab w:val="center" w:pos="6237"/>
          <w:tab w:val="left" w:pos="6379"/>
        </w:tabs>
        <w:spacing w:after="0" w:line="240" w:lineRule="auto"/>
        <w:rPr>
          <w:rFonts w:eastAsia="Times New Roman"/>
          <w:b/>
          <w:noProof/>
          <w:szCs w:val="28"/>
        </w:rPr>
      </w:pPr>
      <w:r w:rsidRPr="00462528">
        <w:rPr>
          <w:rFonts w:eastAsia="Times New Roman"/>
          <w:b/>
          <w:noProof/>
          <w:szCs w:val="28"/>
          <w:lang w:val="vi-VN"/>
        </w:rPr>
        <w:tab/>
      </w:r>
      <w:r w:rsidRPr="00462528">
        <w:rPr>
          <w:rFonts w:eastAsia="Times New Roman"/>
          <w:noProof/>
          <w:sz w:val="26"/>
          <w:szCs w:val="26"/>
          <w:lang w:val="vi-VN"/>
        </w:rPr>
        <w:t>Số:           /</w:t>
      </w:r>
      <w:r w:rsidRPr="00462528">
        <w:rPr>
          <w:rFonts w:eastAsia="Times New Roman"/>
          <w:noProof/>
          <w:sz w:val="26"/>
          <w:szCs w:val="26"/>
        </w:rPr>
        <w:t>….</w:t>
      </w:r>
      <w:r w:rsidRPr="00462528">
        <w:rPr>
          <w:rFonts w:eastAsia="Times New Roman"/>
          <w:noProof/>
          <w:sz w:val="26"/>
          <w:szCs w:val="26"/>
          <w:lang w:val="vi-VN"/>
        </w:rPr>
        <w:t>-</w:t>
      </w:r>
      <w:r w:rsidRPr="00462528">
        <w:rPr>
          <w:rFonts w:eastAsia="Times New Roman"/>
          <w:noProof/>
          <w:sz w:val="26"/>
          <w:szCs w:val="26"/>
        </w:rPr>
        <w:t>…..</w:t>
      </w:r>
      <w:r w:rsidRPr="00462528">
        <w:rPr>
          <w:rFonts w:eastAsia="Times New Roman"/>
          <w:noProof/>
          <w:szCs w:val="28"/>
          <w:lang w:val="vi-VN"/>
        </w:rPr>
        <w:tab/>
      </w:r>
      <w:r w:rsidRPr="00462528">
        <w:rPr>
          <w:rFonts w:eastAsia="Times New Roman"/>
          <w:i/>
          <w:iCs/>
          <w:noProof/>
          <w:szCs w:val="28"/>
          <w:lang w:val="vi-VN"/>
        </w:rPr>
        <w:t xml:space="preserve">Long An, ngày       tháng </w:t>
      </w:r>
      <w:r w:rsidRPr="00462528">
        <w:rPr>
          <w:rFonts w:eastAsia="Times New Roman"/>
          <w:i/>
          <w:iCs/>
          <w:noProof/>
          <w:szCs w:val="28"/>
        </w:rPr>
        <w:t xml:space="preserve"> </w:t>
      </w:r>
      <w:r w:rsidRPr="00462528">
        <w:rPr>
          <w:rFonts w:eastAsia="Times New Roman"/>
          <w:i/>
          <w:iCs/>
          <w:noProof/>
          <w:szCs w:val="28"/>
          <w:lang w:val="vi-VN"/>
        </w:rPr>
        <w:t xml:space="preserve">  năm 20</w:t>
      </w:r>
      <w:r w:rsidRPr="00462528">
        <w:rPr>
          <w:rFonts w:eastAsia="Times New Roman"/>
          <w:i/>
          <w:iCs/>
          <w:noProof/>
          <w:szCs w:val="28"/>
        </w:rPr>
        <w:t>…</w:t>
      </w:r>
    </w:p>
    <w:p w:rsidR="00694F84" w:rsidRPr="00462528" w:rsidRDefault="00694F84" w:rsidP="00694F84">
      <w:pPr>
        <w:tabs>
          <w:tab w:val="center" w:pos="1800"/>
          <w:tab w:val="center" w:pos="6840"/>
        </w:tabs>
        <w:spacing w:before="60" w:after="0" w:line="240" w:lineRule="auto"/>
        <w:ind w:left="-720"/>
        <w:outlineLvl w:val="1"/>
        <w:rPr>
          <w:rFonts w:eastAsia="Times New Roman"/>
          <w:b/>
          <w:bCs/>
          <w:noProof/>
          <w:sz w:val="10"/>
          <w:szCs w:val="28"/>
          <w:lang w:val="vi-VN"/>
        </w:rPr>
      </w:pPr>
    </w:p>
    <w:p w:rsidR="00694F84" w:rsidRDefault="00694F84">
      <w:pPr>
        <w:spacing w:before="120" w:after="0" w:line="240" w:lineRule="auto"/>
        <w:jc w:val="center"/>
        <w:rPr>
          <w:b/>
        </w:rPr>
      </w:pPr>
      <w:bookmarkStart w:id="1" w:name="_GoBack"/>
      <w:bookmarkEnd w:id="0"/>
      <w:bookmarkEnd w:id="1"/>
    </w:p>
    <w:p w:rsidR="00694F84" w:rsidRDefault="00A27C58">
      <w:pPr>
        <w:spacing w:before="120" w:after="0" w:line="240" w:lineRule="auto"/>
        <w:jc w:val="center"/>
        <w:rPr>
          <w:b/>
        </w:rPr>
      </w:pPr>
      <w:r>
        <w:rPr>
          <w:b/>
        </w:rPr>
        <w:t>B</w:t>
      </w:r>
      <w:r w:rsidR="00694F84">
        <w:rPr>
          <w:b/>
        </w:rPr>
        <w:t>ÁO CÁO</w:t>
      </w:r>
    </w:p>
    <w:p w:rsidR="00E35D94" w:rsidRDefault="00694F84">
      <w:pPr>
        <w:spacing w:before="120" w:after="0" w:line="240" w:lineRule="auto"/>
        <w:jc w:val="center"/>
        <w:rPr>
          <w:b/>
        </w:rPr>
      </w:pPr>
      <w:r>
        <w:rPr>
          <w:b/>
        </w:rPr>
        <w:t>K</w:t>
      </w:r>
      <w:r w:rsidR="00A27C58">
        <w:rPr>
          <w:b/>
        </w:rPr>
        <w:t xml:space="preserve">ết quả lãnh đạo, chỉ đạo thực hiện Nghị quyết Trung ương 4 (khóa XII) về tăng cường xây dựng, chỉnh đốn Đảng </w:t>
      </w:r>
    </w:p>
    <w:p w:rsidR="00694F84" w:rsidRDefault="00694F84" w:rsidP="00694F84">
      <w:pPr>
        <w:spacing w:before="120" w:after="0" w:line="240" w:lineRule="auto"/>
        <w:ind w:firstLine="709"/>
        <w:jc w:val="both"/>
        <w:rPr>
          <w:b/>
        </w:rPr>
      </w:pPr>
    </w:p>
    <w:p w:rsidR="00E35D94" w:rsidRDefault="00A27C58" w:rsidP="00694F84">
      <w:pPr>
        <w:spacing w:before="120" w:after="0" w:line="240" w:lineRule="auto"/>
        <w:ind w:firstLine="709"/>
        <w:jc w:val="both"/>
        <w:rPr>
          <w:b/>
        </w:rPr>
      </w:pPr>
      <w:r>
        <w:rPr>
          <w:b/>
        </w:rPr>
        <w:t>I. Tình hình thực hiện Nghị quyết</w:t>
      </w:r>
    </w:p>
    <w:p w:rsidR="00E35D94" w:rsidRDefault="00A27C58" w:rsidP="00694F84">
      <w:pPr>
        <w:spacing w:before="120" w:after="0" w:line="240" w:lineRule="auto"/>
        <w:ind w:firstLine="709"/>
        <w:jc w:val="both"/>
        <w:rPr>
          <w:b/>
        </w:rPr>
      </w:pPr>
      <w:r>
        <w:rPr>
          <w:b/>
        </w:rPr>
        <w:t>1. Lãnh đạo, chỉ đạo công tác quán triệt, triển khai và tuyên truyền thực hiện Nghị quyết.</w:t>
      </w:r>
    </w:p>
    <w:p w:rsidR="00E35D94" w:rsidRDefault="00A27C58" w:rsidP="00694F84">
      <w:pPr>
        <w:spacing w:before="120" w:after="0" w:line="240" w:lineRule="auto"/>
        <w:ind w:firstLine="709"/>
        <w:jc w:val="both"/>
        <w:rPr>
          <w:b/>
        </w:rPr>
      </w:pPr>
      <w:r>
        <w:rPr>
          <w:b/>
        </w:rPr>
        <w:t>2. Những thuận lợi, khó khăn, vướng mắc trong lãnh đạo, chỉ đạo thực hiện Nghị quyết; làm rõ nguyên nhân.</w:t>
      </w:r>
    </w:p>
    <w:p w:rsidR="00E35D94" w:rsidRDefault="00A27C58" w:rsidP="00694F84">
      <w:pPr>
        <w:spacing w:before="120" w:after="0" w:line="240" w:lineRule="auto"/>
        <w:ind w:firstLine="709"/>
        <w:jc w:val="both"/>
        <w:rPr>
          <w:b/>
        </w:rPr>
      </w:pPr>
      <w:r>
        <w:rPr>
          <w:b/>
        </w:rPr>
        <w:t>II. Kết quả thực hiện</w:t>
      </w:r>
    </w:p>
    <w:p w:rsidR="00E35D94" w:rsidRDefault="00A27C58" w:rsidP="00694F84">
      <w:pPr>
        <w:spacing w:before="120" w:after="0" w:line="240" w:lineRule="auto"/>
        <w:ind w:firstLine="709"/>
        <w:jc w:val="both"/>
        <w:rPr>
          <w:b/>
        </w:rPr>
      </w:pPr>
      <w:r>
        <w:rPr>
          <w:b/>
        </w:rPr>
        <w:t>1. Về công tác chính trị tư tưởng, tự phê bình và phê bình</w:t>
      </w:r>
    </w:p>
    <w:p w:rsidR="00E35D94" w:rsidRDefault="00A27C58" w:rsidP="00694F84">
      <w:pPr>
        <w:spacing w:before="120" w:after="0" w:line="240" w:lineRule="auto"/>
        <w:ind w:firstLine="709"/>
        <w:jc w:val="both"/>
      </w:pPr>
      <w:r>
        <w:t>- Việc thường xuyên lãnh đạo, chỉ đạo học tập lý luận chính trị, nhất là nghiên cứu, học tập chủ nghĩa Mác – Le6nin, tư tưởng Hồ Chí Minh, chủ trương, đường lối, nghị quyết của Đảng, chính sách pháp luật của Nhà nước; cung cấp thông tin, cập nhật kiến thức mới cho cán bộ, đảng viên. Đổi mới phương pháp, hình thức bồi dưỡng lý luận chính trị và công tác quán triệt, triển khai nghị quyết; quản lý, kiểm tra và chấn chỉnh, xử lý cán bộ, đảng viên có thái độ học tập nghị quyết của Đảng không nghiêm túc.</w:t>
      </w:r>
    </w:p>
    <w:p w:rsidR="00E35D94" w:rsidRDefault="00A27C58" w:rsidP="00694F84">
      <w:pPr>
        <w:spacing w:before="120" w:after="0" w:line="240" w:lineRule="auto"/>
        <w:ind w:firstLine="709"/>
        <w:jc w:val="both"/>
      </w:pPr>
      <w:r>
        <w:t>- Chủ động theo dõi, nắm bắt diễn biến tư tưởng của cán bộ, đảng viên và đề ra chủ trương, giải pháp xử lý kịp thời, hiệu quả những nhận thức, biểu hiện lệch lạc, sai trái (nếu có).</w:t>
      </w:r>
    </w:p>
    <w:p w:rsidR="00E35D94" w:rsidRDefault="00A27C58" w:rsidP="00694F84">
      <w:pPr>
        <w:spacing w:before="120" w:after="0" w:line="240" w:lineRule="auto"/>
        <w:ind w:firstLine="709"/>
        <w:jc w:val="both"/>
      </w:pPr>
      <w:r>
        <w:t>- Việc lãnh đạo, chỉ đạo kiểm tra, giám sát thực hiện cam kết tu dưỡng, rèn luyện, phấn đấu giữ gìn phẩm chất đạo đức, lối sống, không suy thoái, “tự diễn biến”, “tự chuyển hóa” của cán bộ, đảng viên ở địa phương, cơ quan, đơn vị và soi rọi, đối chiếu với 27 biểu hiện của Nghị quyết. Trong đó, đánh giá cụ thể, cá nhân vi phạm (nếu có) tập trung ở nhóm biểu hiện nào, kết quả xử lý vi phạm.</w:t>
      </w:r>
    </w:p>
    <w:p w:rsidR="00E35D94" w:rsidRDefault="00A27C58" w:rsidP="00694F84">
      <w:pPr>
        <w:spacing w:before="120" w:after="0" w:line="240" w:lineRule="auto"/>
        <w:ind w:firstLine="709"/>
        <w:jc w:val="both"/>
      </w:pPr>
      <w:r>
        <w:t xml:space="preserve">- Lãnh đạo, chỉ đạo công tác tự phê bình và phê bình đối với tập thể, cá nhân cán bộ, đảng viên theo tinh thần Nghị quyết Trung ương 4 (khóa XII) tập trung vào </w:t>
      </w:r>
      <w:r>
        <w:lastRenderedPageBreak/>
        <w:t>các nội dung: Xây dựng tiêu chí đánh giá từng chức danh cán bộ; đổi mới, nâng cao chất lượng công tác tự phê bình và phê bình, khắc phục tình trạng nể nang, né tránh, ngại va chạm, “dĩ hòa vi quý”; việc gợi ý kiểm điểm đối với những nơi có vấn đề phức tạp, dư luận bức xúc, có biểu hiện suy thoái, “tự diễn biến”, “tự chuyển hóa”; xác định trọng tâm, trọng điểm để tập trung chỉ đạo sau kiểm điểm (báo cáo chi tiết kết quả các đơn vị đã được gợi ý kiểm điểm). Xây dựng kế hoạch sửa chữa, khắc phục tồn tại, hạn chế, khuyết điểm chỉ ra qua kiểm điểm.</w:t>
      </w:r>
    </w:p>
    <w:p w:rsidR="00E35D94" w:rsidRDefault="00A27C58" w:rsidP="00694F84">
      <w:pPr>
        <w:spacing w:before="120" w:after="0" w:line="240" w:lineRule="auto"/>
        <w:ind w:firstLine="709"/>
        <w:jc w:val="both"/>
        <w:rPr>
          <w:b/>
        </w:rPr>
      </w:pPr>
      <w:r>
        <w:rPr>
          <w:b/>
        </w:rPr>
        <w:t>2. Tiếp tục xây dựng, kiện toàn tổ chức bộ máy của hệ thống chính trị; nâng cao năng lực lãnh đạo, sức chiến đấu của tổ chức đảng</w:t>
      </w:r>
    </w:p>
    <w:p w:rsidR="00E35D94" w:rsidRDefault="00A27C58" w:rsidP="00694F84">
      <w:pPr>
        <w:spacing w:before="120" w:after="0" w:line="240" w:lineRule="auto"/>
        <w:ind w:firstLine="709"/>
        <w:jc w:val="both"/>
      </w:pPr>
      <w:r>
        <w:t>- Việc rà soát, sửa đổi, bổ sung hoàn thiện quy chế làm việc, quy chế phối hợp và các quy định, quy trình về lãnh đạo, chỉ đạo, quản lý, điều hành đảm bảo công khai, minh bạch; ngăn chặn đẩy lùi tham nhũng, tiêu cực, “lợi ích nhó”, “sân sau”, trục lợi trong quản lý, sử dụng ngân sách, tài sản công, vốn đầu tư, đất đai, tài chính, thuế, công tác cán bộ,…</w:t>
      </w:r>
    </w:p>
    <w:p w:rsidR="00E35D94" w:rsidRDefault="00A27C58" w:rsidP="00694F84">
      <w:pPr>
        <w:spacing w:before="120" w:after="0" w:line="240" w:lineRule="auto"/>
        <w:ind w:firstLine="709"/>
        <w:jc w:val="both"/>
      </w:pPr>
      <w:r>
        <w:t>- Lãnh đạo, chỉ đạo sắp xếp, kiện toàn tổ chức bộ máy của hệ thống chính trị theo chủ trương, kế hoạch, đề án của Tỉnh ủy; kết quả thực hiện Nghị quyết số 39-NQ/TW của Bộ Chính trị khóa XI; việc phân cấp, quản lý cán bộ; thực hiện quy trình bổ nhiệm, giới thiệu cán bộ ứng cử; kết quả thay thế cán bộ trình độ, năng lực hạn chế, hoàn thành nhiệm vụ không cao, phẩm chất đạo đức yếu kém, uy tín, tín nhiệm thấp. Việc khắc phục tình trạng kén chọn vị trí, chức danh, tâm tư, so bì trong đội ngũ cán bộ; đảng viên.</w:t>
      </w:r>
    </w:p>
    <w:p w:rsidR="00E35D94" w:rsidRDefault="00A27C58" w:rsidP="00694F84">
      <w:pPr>
        <w:spacing w:before="120" w:after="0" w:line="240" w:lineRule="auto"/>
        <w:ind w:firstLine="709"/>
        <w:jc w:val="both"/>
      </w:pPr>
      <w:r>
        <w:t>- Đổi mới nội dung, hình thức để nâng cao chất lượng sinh hoạt chi bộ; việc đưa nội dung Nghị quyết Trung ương 4 (khóa XII) về tăng cường, xây dựng chỉnh đốn Đảng vào sinh hoạt chi bộ.</w:t>
      </w:r>
    </w:p>
    <w:p w:rsidR="00E35D94" w:rsidRDefault="00A27C58" w:rsidP="00694F84">
      <w:pPr>
        <w:spacing w:before="120" w:after="0" w:line="240" w:lineRule="auto"/>
        <w:ind w:firstLine="709"/>
        <w:jc w:val="both"/>
      </w:pPr>
      <w:r>
        <w:t>- Công tác cải cách hành chính, cải cách chế độ công vụ, công chức.</w:t>
      </w:r>
    </w:p>
    <w:p w:rsidR="00E35D94" w:rsidRDefault="00A27C58" w:rsidP="00694F84">
      <w:pPr>
        <w:spacing w:before="120" w:after="0" w:line="240" w:lineRule="auto"/>
        <w:ind w:firstLine="709"/>
        <w:jc w:val="both"/>
        <w:rPr>
          <w:b/>
        </w:rPr>
      </w:pPr>
      <w:r>
        <w:rPr>
          <w:b/>
        </w:rPr>
        <w:t>3. Công tác kiểm tra, giám sát; giữ gìn kỷ luật, kỷ cương trong Đảng</w:t>
      </w:r>
    </w:p>
    <w:p w:rsidR="00E35D94" w:rsidRDefault="00A27C58" w:rsidP="00694F84">
      <w:pPr>
        <w:spacing w:before="120" w:after="0" w:line="240" w:lineRule="auto"/>
        <w:ind w:firstLine="709"/>
        <w:jc w:val="both"/>
      </w:pPr>
      <w:r>
        <w:t>- Lãnh đạo, chỉ đạo xây dựng và thực hiện chương trình, kế hoạch công tác kiểm tra, giám sát việc triển khai, thực hiện Nghị quyết Trung ương 4 (khóa XII), nhất là kiểm tra, giám sát việc thực hiện cam kết của cán bộ, đảng viên ở địa phương, cơ quan, đơn vị; kết quả kiểm tra, giám sát việc khắc phục, sửa chữa những tồn tại, hạn chế, khuyết điểm của cấp dưới và cán bộ, đảng viên.</w:t>
      </w:r>
    </w:p>
    <w:p w:rsidR="00E35D94" w:rsidRDefault="00A27C58" w:rsidP="00694F84">
      <w:pPr>
        <w:spacing w:before="120" w:after="0" w:line="240" w:lineRule="auto"/>
        <w:ind w:firstLine="709"/>
        <w:jc w:val="both"/>
      </w:pPr>
      <w:r>
        <w:t>- Thực hiện các biện pháp phòng, chống tham nhũng, lãng phí và kịp thời phát hiện, xử lý đúng quy định pháp luật các vụ án tham nhũng, lãng phí trên địa bàn, phạm vi phụ trách, quản lý. Việc kê khai tài sản, thu nhập cá nhân và công khai theo quy định.</w:t>
      </w:r>
    </w:p>
    <w:p w:rsidR="00E35D94" w:rsidRDefault="00A27C58" w:rsidP="00694F84">
      <w:pPr>
        <w:spacing w:before="120" w:after="0" w:line="240" w:lineRule="auto"/>
        <w:ind w:firstLine="709"/>
        <w:jc w:val="both"/>
      </w:pPr>
      <w:r>
        <w:lastRenderedPageBreak/>
        <w:t>- Thường xuyên lãnh đạo, chỉ đạo quán triệt và thực hiện Quy định số 101-QĐ/TW của Ban Chấp hành Trung ương khóa XI về trách nhiệm nêu gương của cán bộ, đảng viên, nhất là cán bộ lãnh đạo chủ chốt các cấp; Chỉ thị số 72-CT/TU của Ban Thường vụ Tỉnh ủy về tăng cường kỷ luật, kỷ cương, nâng cao trách nhiệm thực thi nhiệm vụ của cán bộ, đảng viên, công chức, viên chức.</w:t>
      </w:r>
    </w:p>
    <w:p w:rsidR="00E35D94" w:rsidRDefault="00A27C58" w:rsidP="00694F84">
      <w:pPr>
        <w:spacing w:before="120" w:after="0" w:line="240" w:lineRule="auto"/>
        <w:ind w:firstLine="709"/>
        <w:jc w:val="both"/>
      </w:pPr>
      <w:r>
        <w:t>- Việc phát hiện và kết quả xử lý những trường hợp suy thoái, “tư diễn biến”, “tự chuyển hóa”; cán bộ, công chức, viên chức được tuyển dụng, quy hoạch, đề bạt, bổ nhiệm, luân chuyển, điều động không đảm bảo về tiêu chuẩn, điều kiện, nguyên tắc, quy trình, kém về phẩm chất đạo đức, tín nhiệm thấp, nhất là cán bộ lãnh đạo, quản lý và những trường hợp người nhà, người thân của cán bộ lãnh đạo chủ chốt các cấp có nhiều dư luận thắc mắc, không đồng tình; công khai kết quả xử lý.</w:t>
      </w:r>
    </w:p>
    <w:p w:rsidR="00E35D94" w:rsidRDefault="00A27C58" w:rsidP="00694F84">
      <w:pPr>
        <w:spacing w:before="120" w:after="0" w:line="240" w:lineRule="auto"/>
        <w:ind w:firstLine="709"/>
        <w:jc w:val="both"/>
        <w:rPr>
          <w:b/>
        </w:rPr>
      </w:pPr>
      <w:r>
        <w:rPr>
          <w:b/>
        </w:rPr>
        <w:t>4. Phát huy vai trò của Mặt trận Tổ quốc, các tổ chức chính trị - xã hội và nhân dân trong việc giám sát thực hiện Nghị quyết Trung ương 4 (khóa XII) về xây dựng, chỉnh đốn Đảng</w:t>
      </w:r>
    </w:p>
    <w:p w:rsidR="00E35D94" w:rsidRDefault="00A27C58" w:rsidP="00694F84">
      <w:pPr>
        <w:spacing w:before="120" w:after="0" w:line="240" w:lineRule="auto"/>
        <w:ind w:firstLine="709"/>
        <w:jc w:val="both"/>
      </w:pPr>
      <w:r>
        <w:t>- Người đứng đầu cấp ủy, chính quyền các cấp thực hiện việc tiếp công dân định kỳ hoặc đột xuất để tiếp nhận thông tin, lắng nghe, đối thoại trực tiếp và xử lý những phản ánh, kiến nghị, khiếu nại, tố cáo của nhân dân, nhất là những nội dung liên quan đến suy thoái, “tự diễn biến”, “tuyện chuyển hóa” trong cán bộ, đảng viên.</w:t>
      </w:r>
    </w:p>
    <w:p w:rsidR="00E35D94" w:rsidRDefault="00A27C58" w:rsidP="00694F84">
      <w:pPr>
        <w:spacing w:before="120" w:after="0" w:line="240" w:lineRule="auto"/>
        <w:ind w:firstLine="709"/>
        <w:jc w:val="both"/>
      </w:pPr>
      <w:r>
        <w:t>- Việc vận dụng thực hiện Quyết định số 99-QĐ/TW ngày 03/10/2017 của Ban Bí thư về việc ban hành Hướng dẫn khung để các cấp ủy, tổ chức đảng trực thuộc Trung ương tiếp tục phát huy vai trò của nhân dân trong đấu tranh ngăn chặn, đẩy lùi sự suy thoái, “tự diễn biến”, “tự chuyển hóa” trong nội bộ (theo Công văn số 1291-CV/TU ngày 13/11/2017 của Ban Thường vụ Tỉnh ủy về triển khai thực hiện Quyết định số 99-QĐ/TW ngày 03/10/2017 của Ban Bí thư).</w:t>
      </w:r>
    </w:p>
    <w:p w:rsidR="00E35D94" w:rsidRDefault="00A27C58" w:rsidP="00694F84">
      <w:pPr>
        <w:spacing w:before="120" w:after="0" w:line="240" w:lineRule="auto"/>
        <w:ind w:firstLine="709"/>
        <w:jc w:val="both"/>
        <w:rPr>
          <w:b/>
        </w:rPr>
      </w:pPr>
      <w:r>
        <w:rPr>
          <w:b/>
        </w:rPr>
        <w:t>III. Đánh giá chung</w:t>
      </w:r>
    </w:p>
    <w:p w:rsidR="00E35D94" w:rsidRDefault="00A27C58" w:rsidP="00694F84">
      <w:pPr>
        <w:spacing w:before="120" w:after="0" w:line="240" w:lineRule="auto"/>
        <w:ind w:firstLine="709"/>
        <w:jc w:val="both"/>
        <w:rPr>
          <w:b/>
        </w:rPr>
      </w:pPr>
      <w:r>
        <w:rPr>
          <w:b/>
        </w:rPr>
        <w:t>1. Ưu điểm</w:t>
      </w:r>
    </w:p>
    <w:p w:rsidR="00E35D94" w:rsidRDefault="00A27C58" w:rsidP="00694F84">
      <w:pPr>
        <w:spacing w:before="120" w:after="0" w:line="240" w:lineRule="auto"/>
        <w:ind w:firstLine="709"/>
        <w:jc w:val="both"/>
        <w:rPr>
          <w:b/>
        </w:rPr>
      </w:pPr>
      <w:r>
        <w:rPr>
          <w:b/>
        </w:rPr>
        <w:t>2. Tồn tại, hạn chế</w:t>
      </w:r>
    </w:p>
    <w:p w:rsidR="00E35D94" w:rsidRDefault="00A27C58" w:rsidP="00694F84">
      <w:pPr>
        <w:spacing w:before="120" w:after="0" w:line="240" w:lineRule="auto"/>
        <w:ind w:firstLine="709"/>
        <w:jc w:val="both"/>
        <w:rPr>
          <w:b/>
        </w:rPr>
      </w:pPr>
      <w:r>
        <w:rPr>
          <w:b/>
        </w:rPr>
        <w:t>3. Nguyên nhân của tồn tại, hạn chế (khách quan, chủ quan)</w:t>
      </w:r>
    </w:p>
    <w:p w:rsidR="00E35D94" w:rsidRDefault="00A27C58" w:rsidP="00694F84">
      <w:pPr>
        <w:spacing w:before="120" w:after="0" w:line="240" w:lineRule="auto"/>
        <w:ind w:firstLine="709"/>
        <w:jc w:val="both"/>
        <w:rPr>
          <w:b/>
        </w:rPr>
      </w:pPr>
      <w:r>
        <w:rPr>
          <w:b/>
        </w:rPr>
        <w:t>IV. Nhiệm vụ và giải pháp trọng tâm trong quý  /20…</w:t>
      </w:r>
    </w:p>
    <w:p w:rsidR="00E35D94" w:rsidRDefault="00A27C58" w:rsidP="00694F84">
      <w:pPr>
        <w:spacing w:before="120" w:after="0" w:line="240" w:lineRule="auto"/>
        <w:ind w:firstLine="709"/>
        <w:jc w:val="both"/>
        <w:rPr>
          <w:b/>
        </w:rPr>
      </w:pPr>
      <w:r>
        <w:rPr>
          <w:b/>
        </w:rPr>
        <w:t>V. Đề xuất, kiến nghị (nếu có)</w:t>
      </w:r>
    </w:p>
    <w:p w:rsidR="00E35D94" w:rsidRDefault="00A27C58" w:rsidP="00694F84">
      <w:pPr>
        <w:spacing w:before="120" w:after="0" w:line="240" w:lineRule="auto"/>
        <w:ind w:firstLine="709"/>
        <w:jc w:val="both"/>
      </w:pPr>
      <w:r>
        <w:rPr>
          <w:b/>
          <w:i/>
        </w:rPr>
        <w:t xml:space="preserve">Lưu ý: </w:t>
      </w:r>
      <w:r>
        <w:t xml:space="preserve">Căn cứ vào tình hình cụ thể và từng thời điểm báo cáo có thể bổ sung hoặc thêm bớt các nội dung cho phù hợp với kết quả thực hiện nghị quyết tại địa phương, cơ quan, đơn vị. Báo cáo cần ngắn gọn, kèm theo số liệu cụ thể; nêu rõ </w:t>
      </w:r>
      <w:r>
        <w:lastRenderedPageBreak/>
        <w:t>các mô hình điển hình, cách làm mới, sáng tạo, hiệu quả; đề xuất các vấn đề cụ thể, thiết thực.</w:t>
      </w:r>
    </w:p>
    <w:p w:rsidR="00694F84" w:rsidRDefault="00694F84">
      <w:pPr>
        <w:spacing w:before="120" w:after="0" w:line="240" w:lineRule="auto"/>
        <w:ind w:firstLine="709"/>
        <w:jc w:val="both"/>
      </w:pPr>
    </w:p>
    <w:tbl>
      <w:tblPr>
        <w:tblW w:w="9673" w:type="dxa"/>
        <w:tblInd w:w="405" w:type="dxa"/>
        <w:tblLook w:val="01E0" w:firstRow="1" w:lastRow="1" w:firstColumn="1" w:lastColumn="1" w:noHBand="0" w:noVBand="0"/>
      </w:tblPr>
      <w:tblGrid>
        <w:gridCol w:w="4172"/>
        <w:gridCol w:w="5501"/>
      </w:tblGrid>
      <w:tr w:rsidR="00694F84" w:rsidRPr="00462528" w:rsidTr="00F33AC3">
        <w:tc>
          <w:tcPr>
            <w:tcW w:w="4172" w:type="dxa"/>
            <w:tcBorders>
              <w:top w:val="none" w:sz="0" w:space="0" w:color="000000"/>
              <w:left w:val="none" w:sz="0" w:space="0" w:color="000000"/>
              <w:bottom w:val="none" w:sz="0" w:space="0" w:color="000000"/>
              <w:right w:val="none" w:sz="0" w:space="0" w:color="000000"/>
            </w:tcBorders>
            <w:vAlign w:val="center"/>
          </w:tcPr>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eastAsia="Times New Roman"/>
                <w:b/>
                <w:bCs/>
                <w:i/>
                <w:iCs/>
                <w:sz w:val="24"/>
                <w:szCs w:val="24"/>
                <w:lang w:val="vi-VN"/>
              </w:rPr>
            </w:pPr>
            <w:bookmarkStart w:id="2" w:name="_Hlk40854425"/>
            <w:r w:rsidRPr="00462528">
              <w:rPr>
                <w:rFonts w:eastAsia="Times New Roman"/>
                <w:b/>
                <w:bCs/>
                <w:i/>
                <w:iCs/>
                <w:sz w:val="24"/>
                <w:szCs w:val="24"/>
                <w:lang w:val="vi-VN"/>
              </w:rPr>
              <w:t>Nơi nhận</w:t>
            </w:r>
            <w:r w:rsidRPr="00462528">
              <w:rPr>
                <w:rFonts w:eastAsia="Times New Roman"/>
                <w:sz w:val="24"/>
                <w:szCs w:val="24"/>
                <w:lang w:val="vi-VN"/>
              </w:rPr>
              <w:t>:</w:t>
            </w:r>
          </w:p>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eastAsia="Times New Roman"/>
                <w:spacing w:val="-5"/>
              </w:rPr>
            </w:pPr>
            <w:r w:rsidRPr="00462528">
              <w:rPr>
                <w:rFonts w:eastAsia="Times New Roman"/>
                <w:spacing w:val="-5"/>
                <w:lang w:val="vi-VN"/>
              </w:rPr>
              <w:t>-</w:t>
            </w:r>
            <w:r w:rsidRPr="00462528">
              <w:rPr>
                <w:rFonts w:eastAsia="Times New Roman"/>
                <w:spacing w:val="-5"/>
              </w:rPr>
              <w:t xml:space="preserve"> ………….;</w:t>
            </w:r>
          </w:p>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eastAsia="Times New Roman"/>
                <w:spacing w:val="-5"/>
              </w:rPr>
            </w:pPr>
            <w:r w:rsidRPr="00462528">
              <w:rPr>
                <w:rFonts w:eastAsia="Times New Roman"/>
                <w:spacing w:val="-5"/>
              </w:rPr>
              <w:t>-…………..;</w:t>
            </w:r>
          </w:p>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eastAsia="Times New Roman"/>
                <w:sz w:val="16"/>
                <w:szCs w:val="16"/>
              </w:rPr>
            </w:pPr>
            <w:r w:rsidRPr="00462528">
              <w:rPr>
                <w:rFonts w:eastAsia="Times New Roman"/>
                <w:spacing w:val="-5"/>
              </w:rPr>
              <w:t>- Lưu: VT, ...;</w:t>
            </w:r>
          </w:p>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eastAsia="Times New Roman"/>
                <w:sz w:val="16"/>
                <w:szCs w:val="16"/>
              </w:rPr>
            </w:pPr>
          </w:p>
          <w:p w:rsidR="00694F84" w:rsidRPr="00462528" w:rsidRDefault="00694F84" w:rsidP="00F33AC3">
            <w:pPr>
              <w:widowControl w:val="0"/>
              <w:pBdr>
                <w:top w:val="none" w:sz="4" w:space="0" w:color="000000"/>
                <w:left w:val="none" w:sz="4" w:space="0" w:color="000000"/>
                <w:bottom w:val="none" w:sz="4" w:space="0" w:color="000000"/>
                <w:right w:val="none" w:sz="4" w:space="0" w:color="000000"/>
                <w:between w:val="none" w:sz="4" w:space="0" w:color="000000"/>
              </w:pBdr>
              <w:tabs>
                <w:tab w:val="left" w:pos="6379"/>
              </w:tabs>
              <w:spacing w:after="0" w:line="240" w:lineRule="atLeast"/>
              <w:jc w:val="both"/>
              <w:rPr>
                <w:rFonts w:ascii="Courier New" w:eastAsia="Times New Roman" w:hAnsi="Courier New"/>
                <w:sz w:val="27"/>
                <w:szCs w:val="27"/>
              </w:rPr>
            </w:pPr>
          </w:p>
        </w:tc>
        <w:tc>
          <w:tcPr>
            <w:tcW w:w="5501" w:type="dxa"/>
            <w:tcBorders>
              <w:top w:val="none" w:sz="0" w:space="0" w:color="000000"/>
              <w:left w:val="none" w:sz="0" w:space="0" w:color="000000"/>
              <w:bottom w:val="none" w:sz="0" w:space="0" w:color="000000"/>
              <w:right w:val="none" w:sz="0" w:space="0" w:color="000000"/>
            </w:tcBorders>
          </w:tcPr>
          <w:p w:rsidR="00694F84" w:rsidRPr="00462528" w:rsidRDefault="00694F84" w:rsidP="00F33AC3">
            <w:pPr>
              <w:widowControl w:val="0"/>
              <w:tabs>
                <w:tab w:val="left" w:pos="567"/>
                <w:tab w:val="left" w:pos="851"/>
                <w:tab w:val="left" w:pos="1134"/>
                <w:tab w:val="left" w:pos="6379"/>
                <w:tab w:val="left" w:pos="8393"/>
              </w:tabs>
              <w:spacing w:after="0" w:line="240" w:lineRule="auto"/>
              <w:jc w:val="center"/>
              <w:rPr>
                <w:rFonts w:eastAsia="Times New Roman"/>
                <w:b/>
                <w:sz w:val="27"/>
                <w:szCs w:val="27"/>
              </w:rPr>
            </w:pPr>
            <w:r w:rsidRPr="00462528">
              <w:rPr>
                <w:rFonts w:eastAsia="Times New Roman"/>
                <w:b/>
                <w:sz w:val="27"/>
                <w:szCs w:val="27"/>
              </w:rPr>
              <w:t>QUYỀN HẠN, CHỨC VỤ CỦA NGƯỜI KÝ</w:t>
            </w:r>
          </w:p>
          <w:p w:rsidR="00694F84" w:rsidRPr="00462528" w:rsidRDefault="00694F84" w:rsidP="00F33AC3">
            <w:pPr>
              <w:widowControl w:val="0"/>
              <w:tabs>
                <w:tab w:val="left" w:pos="567"/>
                <w:tab w:val="left" w:pos="851"/>
                <w:tab w:val="left" w:pos="1134"/>
                <w:tab w:val="left" w:pos="6379"/>
                <w:tab w:val="left" w:pos="8393"/>
              </w:tabs>
              <w:spacing w:after="0" w:line="240" w:lineRule="auto"/>
              <w:jc w:val="center"/>
              <w:rPr>
                <w:rFonts w:eastAsia="Times New Roman"/>
                <w:bCs/>
                <w:i/>
                <w:iCs/>
                <w:sz w:val="27"/>
                <w:szCs w:val="27"/>
              </w:rPr>
            </w:pPr>
            <w:r w:rsidRPr="00462528">
              <w:rPr>
                <w:rFonts w:eastAsia="Times New Roman"/>
                <w:bCs/>
                <w:i/>
                <w:iCs/>
                <w:sz w:val="27"/>
                <w:szCs w:val="27"/>
              </w:rPr>
              <w:t>(Chữ ký, dấu)</w:t>
            </w:r>
          </w:p>
          <w:p w:rsidR="00694F84" w:rsidRPr="00462528" w:rsidRDefault="00694F84" w:rsidP="00F33AC3">
            <w:pPr>
              <w:widowControl w:val="0"/>
              <w:tabs>
                <w:tab w:val="left" w:pos="567"/>
                <w:tab w:val="left" w:pos="851"/>
                <w:tab w:val="left" w:pos="1134"/>
                <w:tab w:val="left" w:pos="6379"/>
                <w:tab w:val="left" w:pos="8393"/>
              </w:tabs>
              <w:spacing w:after="0" w:line="240" w:lineRule="auto"/>
              <w:jc w:val="center"/>
              <w:rPr>
                <w:rFonts w:eastAsia="Times New Roman"/>
                <w:bCs/>
                <w:sz w:val="27"/>
                <w:szCs w:val="27"/>
              </w:rPr>
            </w:pPr>
            <w:r w:rsidRPr="00462528">
              <w:rPr>
                <w:rFonts w:eastAsia="Times New Roman"/>
                <w:bCs/>
                <w:sz w:val="27"/>
                <w:szCs w:val="27"/>
              </w:rPr>
              <w:t>Họ và tên</w:t>
            </w:r>
          </w:p>
          <w:p w:rsidR="00694F84" w:rsidRPr="00462528" w:rsidRDefault="00694F84" w:rsidP="00F33AC3">
            <w:pPr>
              <w:widowControl w:val="0"/>
              <w:tabs>
                <w:tab w:val="left" w:pos="567"/>
                <w:tab w:val="left" w:pos="851"/>
                <w:tab w:val="left" w:pos="1134"/>
                <w:tab w:val="left" w:pos="6379"/>
                <w:tab w:val="left" w:pos="8393"/>
              </w:tabs>
              <w:spacing w:after="0" w:line="240" w:lineRule="auto"/>
              <w:ind w:firstLine="567"/>
              <w:jc w:val="center"/>
              <w:rPr>
                <w:rFonts w:eastAsia="Times New Roman"/>
                <w:b/>
                <w:sz w:val="27"/>
                <w:szCs w:val="27"/>
                <w:lang w:val="vi-VN"/>
              </w:rPr>
            </w:pPr>
          </w:p>
          <w:p w:rsidR="00694F84" w:rsidRPr="00462528" w:rsidRDefault="00694F84" w:rsidP="00F33AC3">
            <w:pPr>
              <w:widowControl w:val="0"/>
              <w:tabs>
                <w:tab w:val="left" w:pos="567"/>
                <w:tab w:val="left" w:pos="851"/>
                <w:tab w:val="left" w:pos="1134"/>
                <w:tab w:val="left" w:pos="6379"/>
                <w:tab w:val="left" w:pos="8393"/>
              </w:tabs>
              <w:spacing w:after="0" w:line="240" w:lineRule="auto"/>
              <w:ind w:firstLine="567"/>
              <w:jc w:val="center"/>
              <w:rPr>
                <w:rFonts w:eastAsia="Times New Roman"/>
                <w:b/>
                <w:sz w:val="27"/>
                <w:szCs w:val="27"/>
                <w:lang w:val="vi-VN"/>
              </w:rPr>
            </w:pPr>
          </w:p>
          <w:p w:rsidR="00694F84" w:rsidRPr="00462528" w:rsidRDefault="00694F84" w:rsidP="00F33AC3">
            <w:pPr>
              <w:widowControl w:val="0"/>
              <w:tabs>
                <w:tab w:val="left" w:pos="567"/>
                <w:tab w:val="left" w:pos="851"/>
                <w:tab w:val="left" w:pos="1134"/>
                <w:tab w:val="left" w:pos="6379"/>
                <w:tab w:val="left" w:pos="8393"/>
              </w:tabs>
              <w:spacing w:after="0" w:line="240" w:lineRule="auto"/>
              <w:ind w:firstLine="567"/>
              <w:jc w:val="center"/>
              <w:rPr>
                <w:rFonts w:eastAsia="Times New Roman"/>
                <w:b/>
                <w:sz w:val="27"/>
                <w:szCs w:val="27"/>
                <w:lang w:val="vi-VN"/>
              </w:rPr>
            </w:pPr>
          </w:p>
          <w:p w:rsidR="00694F84" w:rsidRPr="00462528" w:rsidRDefault="00694F84" w:rsidP="00F33AC3">
            <w:pPr>
              <w:widowControl w:val="0"/>
              <w:tabs>
                <w:tab w:val="left" w:pos="567"/>
                <w:tab w:val="left" w:pos="851"/>
                <w:tab w:val="left" w:pos="1134"/>
                <w:tab w:val="left" w:pos="6379"/>
                <w:tab w:val="left" w:pos="8393"/>
              </w:tabs>
              <w:spacing w:after="0" w:line="240" w:lineRule="auto"/>
              <w:ind w:firstLine="567"/>
              <w:jc w:val="center"/>
              <w:rPr>
                <w:rFonts w:eastAsia="Times New Roman"/>
                <w:b/>
                <w:sz w:val="27"/>
                <w:szCs w:val="27"/>
                <w:lang w:val="vi-VN"/>
              </w:rPr>
            </w:pPr>
          </w:p>
        </w:tc>
      </w:tr>
      <w:bookmarkEnd w:id="2"/>
    </w:tbl>
    <w:p w:rsidR="00694F84" w:rsidRDefault="00694F84">
      <w:pPr>
        <w:spacing w:before="120" w:after="0" w:line="240" w:lineRule="auto"/>
        <w:ind w:firstLine="709"/>
        <w:jc w:val="both"/>
      </w:pPr>
    </w:p>
    <w:sectPr w:rsidR="0069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3B"/>
    <w:rsid w:val="000469F0"/>
    <w:rsid w:val="00157229"/>
    <w:rsid w:val="00410F3B"/>
    <w:rsid w:val="00420A6C"/>
    <w:rsid w:val="00557ED7"/>
    <w:rsid w:val="00562B9B"/>
    <w:rsid w:val="00597D5A"/>
    <w:rsid w:val="00606E55"/>
    <w:rsid w:val="00694F84"/>
    <w:rsid w:val="00887855"/>
    <w:rsid w:val="00A15558"/>
    <w:rsid w:val="00A27C58"/>
    <w:rsid w:val="00C743F9"/>
    <w:rsid w:val="00D67B9B"/>
    <w:rsid w:val="00D86AB6"/>
    <w:rsid w:val="00E35D94"/>
    <w:rsid w:val="00E753B9"/>
    <w:rsid w:val="3660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1D3E4D0-C8E3-4C1F-A0BF-0FCEE4B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6DB1C-F80B-4AF7-A659-9D91720AB8DE}"/>
</file>

<file path=customXml/itemProps2.xml><?xml version="1.0" encoding="utf-8"?>
<ds:datastoreItem xmlns:ds="http://schemas.openxmlformats.org/officeDocument/2006/customXml" ds:itemID="{7F6489CD-3EB5-4E2E-8116-F50032258966}"/>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EDEF2B40-EAA2-4CF5-AFE8-822D8C6F8E9D}"/>
</file>

<file path=docProps/app.xml><?xml version="1.0" encoding="utf-8"?>
<Properties xmlns="http://schemas.openxmlformats.org/officeDocument/2006/extended-properties" xmlns:vt="http://schemas.openxmlformats.org/officeDocument/2006/docPropsVTypes">
  <Template>Normal.dotm</Template>
  <TotalTime>222</TotalTime>
  <Pages>1</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SNV</dc:creator>
  <cp:lastModifiedBy>Thanh</cp:lastModifiedBy>
  <cp:revision>6</cp:revision>
  <dcterms:created xsi:type="dcterms:W3CDTF">2020-04-16T00:19:00Z</dcterms:created>
  <dcterms:modified xsi:type="dcterms:W3CDTF">2020-06-09T09:12:00Z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